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46F" w:rsidRDefault="00DD746F" w:rsidP="00DD746F">
      <w:pPr>
        <w:spacing w:after="0"/>
      </w:pPr>
    </w:p>
    <w:p w:rsidR="009E0861" w:rsidRPr="00E30C3D" w:rsidRDefault="003E5BB9" w:rsidP="003E5BB9">
      <w:pPr>
        <w:rPr>
          <w:b/>
          <w:sz w:val="24"/>
          <w:szCs w:val="24"/>
        </w:rPr>
      </w:pPr>
      <w:r w:rsidRPr="00E30C3D">
        <w:rPr>
          <w:b/>
          <w:sz w:val="24"/>
          <w:szCs w:val="24"/>
        </w:rPr>
        <w:t>Data Timeline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775"/>
        <w:gridCol w:w="1620"/>
        <w:gridCol w:w="4950"/>
      </w:tblGrid>
      <w:tr w:rsidR="009257FC" w:rsidTr="00DD746F">
        <w:trPr>
          <w:trHeight w:val="419"/>
        </w:trPr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257FC" w:rsidRPr="00DD746F" w:rsidRDefault="009257FC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Indicator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257FC" w:rsidRPr="00DD746F" w:rsidRDefault="009257FC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Source</w:t>
            </w:r>
          </w:p>
        </w:tc>
        <w:tc>
          <w:tcPr>
            <w:tcW w:w="49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57FC" w:rsidRPr="00DD746F" w:rsidRDefault="003E5BB9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Data Available:</w:t>
            </w:r>
          </w:p>
        </w:tc>
      </w:tr>
      <w:tr w:rsidR="009257FC" w:rsidTr="00DD746F">
        <w:trPr>
          <w:trHeight w:val="396"/>
        </w:trPr>
        <w:tc>
          <w:tcPr>
            <w:tcW w:w="27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257FC" w:rsidRDefault="009257FC" w:rsidP="00DD746F">
            <w:r>
              <w:t>1</w:t>
            </w:r>
            <w:r w:rsidRPr="009E0861">
              <w:rPr>
                <w:vertAlign w:val="superscript"/>
              </w:rPr>
              <w:t>st</w:t>
            </w:r>
            <w:r>
              <w:t xml:space="preserve"> to 2</w:t>
            </w:r>
            <w:r w:rsidRPr="009E0861">
              <w:rPr>
                <w:vertAlign w:val="superscript"/>
              </w:rPr>
              <w:t>nd</w:t>
            </w:r>
            <w:r>
              <w:t xml:space="preserve"> Quarter Retention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257FC" w:rsidRDefault="00DD746F" w:rsidP="00DD746F">
            <w:pPr>
              <w:jc w:val="center"/>
            </w:pPr>
            <w:r>
              <w:t xml:space="preserve">Quarterly 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9257FC" w:rsidP="00DD746F">
            <w:r>
              <w:t>1</w:t>
            </w:r>
            <w:r w:rsidRPr="009E0861">
              <w:rPr>
                <w:vertAlign w:val="superscript"/>
              </w:rPr>
              <w:t>st</w:t>
            </w:r>
            <w:r>
              <w:t xml:space="preserve"> to 3</w:t>
            </w:r>
            <w:r w:rsidRPr="009E0861">
              <w:rPr>
                <w:vertAlign w:val="superscript"/>
              </w:rPr>
              <w:t>rd</w:t>
            </w:r>
            <w:r>
              <w:t xml:space="preserve"> Quarter Retention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9257FC" w:rsidRDefault="00DD746F" w:rsidP="00DD746F">
            <w:pPr>
              <w:jc w:val="center"/>
            </w:pPr>
            <w:r>
              <w:t>Quarterly</w:t>
            </w:r>
          </w:p>
        </w:tc>
      </w:tr>
      <w:tr w:rsidR="009257FC" w:rsidTr="00DD746F">
        <w:trPr>
          <w:trHeight w:val="396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DD746F" w:rsidP="00DD746F">
            <w:r>
              <w:t xml:space="preserve">1-Year </w:t>
            </w:r>
            <w:r w:rsidR="009257FC">
              <w:t>Persistence</w:t>
            </w:r>
            <w:r>
              <w:t xml:space="preserve"> Rate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DD746F" w:rsidRDefault="00DD746F" w:rsidP="00DD746F">
            <w:pPr>
              <w:jc w:val="center"/>
            </w:pPr>
            <w:r>
              <w:t xml:space="preserve">Quarterly </w:t>
            </w:r>
          </w:p>
          <w:p w:rsidR="009257FC" w:rsidRDefault="00DD746F" w:rsidP="00DD746F">
            <w:pPr>
              <w:jc w:val="center"/>
            </w:pPr>
            <w:r>
              <w:t>(final data available in October/November)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DD746F" w:rsidP="00DD746F">
            <w:r>
              <w:t>3-Year</w:t>
            </w:r>
            <w:r w:rsidR="009257FC">
              <w:t xml:space="preserve"> Completion Rate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DD746F" w:rsidRDefault="00DD746F" w:rsidP="00DD746F">
            <w:pPr>
              <w:jc w:val="center"/>
            </w:pPr>
            <w:r>
              <w:t xml:space="preserve">Quarterly </w:t>
            </w:r>
          </w:p>
          <w:p w:rsidR="009257FC" w:rsidRPr="00DD746F" w:rsidRDefault="00DD746F" w:rsidP="00DD746F">
            <w:pPr>
              <w:jc w:val="center"/>
              <w:rPr>
                <w:b/>
              </w:rPr>
            </w:pPr>
            <w:r>
              <w:t>(final data available in October/November)</w:t>
            </w:r>
          </w:p>
        </w:tc>
      </w:tr>
      <w:tr w:rsidR="009257FC" w:rsidTr="00DD746F">
        <w:trPr>
          <w:trHeight w:val="323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9257FC" w:rsidP="00DD746F">
            <w:r>
              <w:t>Course Success Rates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DD746F" w:rsidRDefault="009257FC" w:rsidP="00DD746F">
            <w:pPr>
              <w:jc w:val="center"/>
            </w:pPr>
            <w:r>
              <w:t>Quarterly</w:t>
            </w:r>
            <w:r w:rsidR="00DD746F">
              <w:t xml:space="preserve"> </w:t>
            </w:r>
          </w:p>
          <w:p w:rsidR="009257FC" w:rsidRDefault="00DD746F" w:rsidP="00DD746F">
            <w:pPr>
              <w:jc w:val="center"/>
            </w:pPr>
            <w:r>
              <w:t>(final data available in October/November)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9257FC" w:rsidP="00DD746F">
            <w:r>
              <w:t>FTE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ODS</w:t>
            </w:r>
            <w:r w:rsidR="00DD746F">
              <w:t>/SBCTC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9257FC" w:rsidRDefault="009257FC" w:rsidP="00DD746F">
            <w:pPr>
              <w:jc w:val="center"/>
            </w:pPr>
            <w:r>
              <w:t>Live</w:t>
            </w:r>
            <w:r w:rsidR="00DD746F">
              <w:t xml:space="preserve"> and/or Quarterly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9257FC" w:rsidP="00DD746F">
            <w:r>
              <w:t>Enrollment</w:t>
            </w:r>
          </w:p>
        </w:tc>
        <w:tc>
          <w:tcPr>
            <w:tcW w:w="1620" w:type="dxa"/>
            <w:vAlign w:val="center"/>
          </w:tcPr>
          <w:p w:rsidR="009257FC" w:rsidRDefault="003E5BB9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9257FC" w:rsidRDefault="003E5BB9" w:rsidP="00DD746F">
            <w:pPr>
              <w:jc w:val="center"/>
            </w:pPr>
            <w:r>
              <w:t>Quarterly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</w:tcBorders>
            <w:vAlign w:val="center"/>
          </w:tcPr>
          <w:p w:rsidR="009257FC" w:rsidRDefault="009257FC" w:rsidP="00DD746F">
            <w:r>
              <w:t xml:space="preserve">Transition Rates </w:t>
            </w:r>
          </w:p>
        </w:tc>
        <w:tc>
          <w:tcPr>
            <w:tcW w:w="1620" w:type="dxa"/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right w:val="double" w:sz="4" w:space="0" w:color="auto"/>
            </w:tcBorders>
            <w:vAlign w:val="center"/>
          </w:tcPr>
          <w:p w:rsidR="00DD746F" w:rsidRDefault="00DD746F" w:rsidP="00DD746F">
            <w:pPr>
              <w:jc w:val="center"/>
            </w:pPr>
            <w:r>
              <w:t xml:space="preserve">Quarterly </w:t>
            </w:r>
          </w:p>
          <w:p w:rsidR="009257FC" w:rsidRDefault="00DD746F" w:rsidP="00240AF3">
            <w:pPr>
              <w:jc w:val="center"/>
            </w:pPr>
            <w:r>
              <w:t>(final data available in November</w:t>
            </w:r>
            <w:r w:rsidR="00240AF3">
              <w:t>/December</w:t>
            </w:r>
            <w:r>
              <w:t>)</w:t>
            </w:r>
          </w:p>
        </w:tc>
      </w:tr>
      <w:tr w:rsidR="009257FC" w:rsidTr="00DD746F">
        <w:trPr>
          <w:trHeight w:val="419"/>
        </w:trPr>
        <w:tc>
          <w:tcPr>
            <w:tcW w:w="27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257FC" w:rsidRDefault="009257FC" w:rsidP="00DD746F">
            <w:r>
              <w:t>Wage</w:t>
            </w:r>
            <w:r w:rsidR="007B7E08">
              <w:t>s</w:t>
            </w:r>
            <w:r>
              <w:t xml:space="preserve"> and Placement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257FC" w:rsidRDefault="009257FC" w:rsidP="00DD746F">
            <w:pPr>
              <w:jc w:val="center"/>
            </w:pPr>
            <w:r>
              <w:t>SBCTC</w:t>
            </w:r>
          </w:p>
        </w:tc>
        <w:tc>
          <w:tcPr>
            <w:tcW w:w="49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746F" w:rsidRDefault="009257FC" w:rsidP="00DD746F">
            <w:pPr>
              <w:jc w:val="center"/>
            </w:pPr>
            <w:r>
              <w:t xml:space="preserve">Annual </w:t>
            </w:r>
          </w:p>
          <w:p w:rsidR="009257FC" w:rsidRDefault="009257FC" w:rsidP="00DD746F">
            <w:pPr>
              <w:jc w:val="center"/>
            </w:pPr>
            <w:r>
              <w:t>(</w:t>
            </w:r>
            <w:r w:rsidR="00DD746F">
              <w:t>data is available in December for the previous year</w:t>
            </w:r>
            <w:r>
              <w:t>)</w:t>
            </w:r>
          </w:p>
        </w:tc>
      </w:tr>
    </w:tbl>
    <w:p w:rsidR="009E0861" w:rsidRPr="00DD746F" w:rsidRDefault="009E0861" w:rsidP="003E5BB9">
      <w:pPr>
        <w:rPr>
          <w:b/>
        </w:rPr>
      </w:pPr>
    </w:p>
    <w:p w:rsidR="003E5BB9" w:rsidRPr="00E30C3D" w:rsidRDefault="00E30C3D" w:rsidP="003E5BB9">
      <w:pPr>
        <w:rPr>
          <w:b/>
          <w:sz w:val="24"/>
          <w:szCs w:val="24"/>
        </w:rPr>
      </w:pPr>
      <w:r w:rsidRPr="00E30C3D">
        <w:rPr>
          <w:b/>
          <w:sz w:val="24"/>
          <w:szCs w:val="24"/>
        </w:rPr>
        <w:t>Survey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5"/>
        <w:gridCol w:w="1620"/>
        <w:gridCol w:w="2258"/>
        <w:gridCol w:w="1777"/>
      </w:tblGrid>
      <w:tr w:rsidR="003E5BB9" w:rsidRPr="00DD746F" w:rsidTr="00150216">
        <w:trPr>
          <w:trHeight w:val="300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:rsidR="003E5BB9" w:rsidRPr="00DD746F" w:rsidRDefault="003E5BB9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Survey Title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E5BB9" w:rsidRPr="00DD746F" w:rsidRDefault="003E5BB9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Administered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E5BB9" w:rsidRPr="00DD746F" w:rsidRDefault="003E5BB9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Frequency</w:t>
            </w:r>
          </w:p>
        </w:tc>
        <w:tc>
          <w:tcPr>
            <w:tcW w:w="177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E5BB9" w:rsidRPr="00DD746F" w:rsidRDefault="003E5BB9" w:rsidP="00DD746F">
            <w:pPr>
              <w:jc w:val="center"/>
              <w:rPr>
                <w:b/>
              </w:rPr>
            </w:pPr>
            <w:r w:rsidRPr="00DD746F">
              <w:rPr>
                <w:b/>
              </w:rPr>
              <w:t>Data Available</w:t>
            </w:r>
          </w:p>
        </w:tc>
      </w:tr>
      <w:tr w:rsidR="00DD746F" w:rsidRPr="00DD746F" w:rsidTr="00E30C3D">
        <w:trPr>
          <w:trHeight w:val="300"/>
        </w:trPr>
        <w:tc>
          <w:tcPr>
            <w:tcW w:w="3675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D746F" w:rsidRPr="00E30C3D" w:rsidRDefault="00DD746F" w:rsidP="00DD746F">
            <w:pPr>
              <w:rPr>
                <w:b/>
              </w:rPr>
            </w:pPr>
            <w:r w:rsidRPr="00E30C3D">
              <w:rPr>
                <w:b/>
              </w:rPr>
              <w:t>Advisory Committee Survey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noWrap/>
            <w:vAlign w:val="center"/>
          </w:tcPr>
          <w:p w:rsidR="00DD746F" w:rsidRPr="00DD746F" w:rsidRDefault="00DD746F" w:rsidP="00DD746F">
            <w:pPr>
              <w:jc w:val="center"/>
            </w:pPr>
            <w:r>
              <w:t>Spring 2018</w:t>
            </w:r>
          </w:p>
        </w:tc>
        <w:tc>
          <w:tcPr>
            <w:tcW w:w="2258" w:type="dxa"/>
            <w:tcBorders>
              <w:top w:val="double" w:sz="4" w:space="0" w:color="auto"/>
            </w:tcBorders>
            <w:noWrap/>
            <w:vAlign w:val="center"/>
          </w:tcPr>
          <w:p w:rsidR="00DD746F" w:rsidRPr="00DD746F" w:rsidRDefault="00DD746F" w:rsidP="00DD746F">
            <w:pPr>
              <w:jc w:val="center"/>
            </w:pPr>
            <w:r>
              <w:t>Every year</w:t>
            </w:r>
          </w:p>
        </w:tc>
        <w:tc>
          <w:tcPr>
            <w:tcW w:w="1777" w:type="dxa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DD746F" w:rsidRPr="00DD746F" w:rsidRDefault="00DD746F" w:rsidP="00DD746F">
            <w:pPr>
              <w:jc w:val="center"/>
            </w:pPr>
            <w:r>
              <w:t>Summer 2018</w:t>
            </w:r>
          </w:p>
        </w:tc>
      </w:tr>
      <w:tr w:rsidR="00240AF3" w:rsidRPr="00DD746F" w:rsidTr="00B14E5E">
        <w:trPr>
          <w:trHeight w:val="300"/>
        </w:trPr>
        <w:tc>
          <w:tcPr>
            <w:tcW w:w="933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240AF3" w:rsidRDefault="00240AF3" w:rsidP="007D30E2">
            <w:r>
              <w:t>Description</w:t>
            </w:r>
            <w:r w:rsidR="007D30E2">
              <w:t xml:space="preserve">: The Advisory Committee Survey asks advisory committee members to evaluate the programs they support. </w:t>
            </w:r>
          </w:p>
        </w:tc>
      </w:tr>
      <w:tr w:rsidR="00E4464B" w:rsidRPr="00DD746F" w:rsidTr="00E30C3D">
        <w:trPr>
          <w:trHeight w:val="300"/>
        </w:trPr>
        <w:tc>
          <w:tcPr>
            <w:tcW w:w="3675" w:type="dxa"/>
            <w:tcBorders>
              <w:top w:val="single" w:sz="4" w:space="0" w:color="auto"/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4464B" w:rsidRPr="00E30C3D" w:rsidRDefault="00E4464B" w:rsidP="00DD746F">
            <w:pPr>
              <w:rPr>
                <w:b/>
              </w:rPr>
            </w:pPr>
            <w:r w:rsidRPr="00E30C3D">
              <w:rPr>
                <w:b/>
              </w:rPr>
              <w:t>Annual Student Survey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E4464B" w:rsidRDefault="00E4464B" w:rsidP="00DD746F">
            <w:pPr>
              <w:jc w:val="center"/>
            </w:pPr>
            <w:r>
              <w:t>Fall 2017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noWrap/>
            <w:vAlign w:val="center"/>
          </w:tcPr>
          <w:p w:rsidR="00E4464B" w:rsidRDefault="00E4464B" w:rsidP="00DD746F">
            <w:pPr>
              <w:jc w:val="center"/>
            </w:pPr>
            <w:r>
              <w:t>Every year</w:t>
            </w:r>
            <w:r w:rsidR="00150216">
              <w:t xml:space="preserve"> (except when we conduct the Engagement Survey)</w:t>
            </w:r>
          </w:p>
        </w:tc>
        <w:tc>
          <w:tcPr>
            <w:tcW w:w="1777" w:type="dxa"/>
            <w:tcBorders>
              <w:top w:val="single" w:sz="4" w:space="0" w:color="auto"/>
              <w:right w:val="double" w:sz="4" w:space="0" w:color="auto"/>
            </w:tcBorders>
            <w:noWrap/>
            <w:vAlign w:val="center"/>
          </w:tcPr>
          <w:p w:rsidR="00E4464B" w:rsidRDefault="00E4464B" w:rsidP="00DD746F">
            <w:pPr>
              <w:jc w:val="center"/>
            </w:pPr>
            <w:r>
              <w:t>Winter 2018</w:t>
            </w:r>
          </w:p>
        </w:tc>
      </w:tr>
      <w:tr w:rsidR="007D30E2" w:rsidRPr="00DD746F" w:rsidTr="00912757">
        <w:trPr>
          <w:trHeight w:val="300"/>
        </w:trPr>
        <w:tc>
          <w:tcPr>
            <w:tcW w:w="933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7D30E2">
            <w:r>
              <w:t xml:space="preserve">Description: The Annual Student Survey is a holistic assessment of student satisfaction with instruction and support services (enrollment, advising, </w:t>
            </w:r>
            <w:proofErr w:type="spellStart"/>
            <w:r>
              <w:t>etc</w:t>
            </w:r>
            <w:proofErr w:type="spellEnd"/>
            <w:r>
              <w:t xml:space="preserve">). </w:t>
            </w:r>
          </w:p>
        </w:tc>
      </w:tr>
      <w:tr w:rsidR="00DD746F" w:rsidRPr="003E5BB9" w:rsidTr="00E30C3D">
        <w:trPr>
          <w:trHeight w:val="377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D746F" w:rsidRPr="00E30C3D" w:rsidRDefault="00DD746F" w:rsidP="00DD746F">
            <w:pPr>
              <w:rPr>
                <w:b/>
              </w:rPr>
            </w:pPr>
            <w:r w:rsidRPr="00E30C3D">
              <w:rPr>
                <w:b/>
              </w:rPr>
              <w:t>Community College Survey of Student Engagement (CCSSE)</w:t>
            </w:r>
          </w:p>
        </w:tc>
        <w:tc>
          <w:tcPr>
            <w:tcW w:w="1620" w:type="dxa"/>
            <w:noWrap/>
            <w:vAlign w:val="center"/>
          </w:tcPr>
          <w:p w:rsidR="00DD746F" w:rsidRPr="003E5BB9" w:rsidRDefault="0017255A" w:rsidP="00DD746F">
            <w:pPr>
              <w:jc w:val="center"/>
            </w:pPr>
            <w:r>
              <w:t>Spring 2019</w:t>
            </w:r>
          </w:p>
        </w:tc>
        <w:tc>
          <w:tcPr>
            <w:tcW w:w="2258" w:type="dxa"/>
            <w:noWrap/>
            <w:vAlign w:val="center"/>
          </w:tcPr>
          <w:p w:rsidR="00DD746F" w:rsidRDefault="00DD746F" w:rsidP="00DD746F">
            <w:pPr>
              <w:jc w:val="center"/>
            </w:pPr>
            <w:r>
              <w:t>Every 3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</w:tcPr>
          <w:p w:rsidR="00DD746F" w:rsidRDefault="0017255A" w:rsidP="00DD746F">
            <w:pPr>
              <w:jc w:val="center"/>
            </w:pPr>
            <w:r>
              <w:t>Summer/Fall 2019</w:t>
            </w:r>
          </w:p>
        </w:tc>
      </w:tr>
      <w:tr w:rsidR="007D30E2" w:rsidRPr="003E5BB9" w:rsidTr="000A3495">
        <w:trPr>
          <w:trHeight w:val="377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AF5FDF">
            <w:r>
              <w:t xml:space="preserve">Description: CCSSE is a nationally </w:t>
            </w:r>
            <w:r w:rsidR="00AF5FDF">
              <w:t>recognized</w:t>
            </w:r>
            <w:r>
              <w:t xml:space="preserve"> survey that assess institutional practices and student behaviors that are correlated with learning and retention. </w:t>
            </w:r>
          </w:p>
        </w:tc>
      </w:tr>
      <w:tr w:rsidR="00E4464B" w:rsidRPr="003E5BB9" w:rsidTr="00E30C3D">
        <w:trPr>
          <w:trHeight w:val="300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4464B" w:rsidRPr="00E30C3D" w:rsidRDefault="00E4464B" w:rsidP="00E4464B">
            <w:pPr>
              <w:rPr>
                <w:b/>
              </w:rPr>
            </w:pPr>
            <w:r w:rsidRPr="00E30C3D">
              <w:rPr>
                <w:b/>
              </w:rPr>
              <w:t>Community Engagement</w:t>
            </w:r>
          </w:p>
        </w:tc>
        <w:tc>
          <w:tcPr>
            <w:tcW w:w="1620" w:type="dxa"/>
            <w:noWrap/>
            <w:vAlign w:val="center"/>
            <w:hideMark/>
          </w:tcPr>
          <w:p w:rsidR="00E4464B" w:rsidRPr="003E5BB9" w:rsidRDefault="0017255A" w:rsidP="00E470A6">
            <w:pPr>
              <w:jc w:val="center"/>
            </w:pPr>
            <w:r>
              <w:t xml:space="preserve">Spring </w:t>
            </w:r>
            <w:r w:rsidR="00E4464B">
              <w:t>2018</w:t>
            </w:r>
          </w:p>
        </w:tc>
        <w:tc>
          <w:tcPr>
            <w:tcW w:w="2258" w:type="dxa"/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>
              <w:t>Every 2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E4464B" w:rsidRPr="003E5BB9" w:rsidRDefault="0017255A" w:rsidP="00E470A6">
            <w:pPr>
              <w:jc w:val="center"/>
            </w:pPr>
            <w:r>
              <w:t>Summer/Fall</w:t>
            </w:r>
            <w:r w:rsidR="00E4464B">
              <w:t xml:space="preserve"> 2018</w:t>
            </w:r>
          </w:p>
        </w:tc>
      </w:tr>
      <w:tr w:rsidR="007D30E2" w:rsidRPr="003E5BB9" w:rsidTr="00ED15F0">
        <w:trPr>
          <w:trHeight w:val="300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Pr="003E5BB9" w:rsidRDefault="007D30E2" w:rsidP="00781D92">
            <w:r>
              <w:t xml:space="preserve">Description: </w:t>
            </w:r>
            <w:r w:rsidR="00E30C3D">
              <w:t>The Community Engagement S</w:t>
            </w:r>
            <w:r w:rsidR="00F76411">
              <w:t>urvey ask</w:t>
            </w:r>
            <w:r w:rsidR="00781D92">
              <w:t>s</w:t>
            </w:r>
            <w:r w:rsidR="00F76411">
              <w:t xml:space="preserve"> community members to evaluate RTC’s role in their communities. </w:t>
            </w:r>
          </w:p>
        </w:tc>
      </w:tr>
      <w:tr w:rsidR="00E4464B" w:rsidRPr="003E5BB9" w:rsidTr="00E30C3D">
        <w:trPr>
          <w:trHeight w:val="300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4464B" w:rsidRPr="00E30C3D" w:rsidRDefault="00E4464B" w:rsidP="00E470A6">
            <w:pPr>
              <w:rPr>
                <w:b/>
              </w:rPr>
            </w:pPr>
            <w:r w:rsidRPr="00E30C3D">
              <w:rPr>
                <w:b/>
              </w:rPr>
              <w:t xml:space="preserve">Community Engagement – Employees </w:t>
            </w:r>
          </w:p>
        </w:tc>
        <w:tc>
          <w:tcPr>
            <w:tcW w:w="1620" w:type="dxa"/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 w:rsidRPr="003E5BB9">
              <w:t>Fall</w:t>
            </w:r>
            <w:r>
              <w:t xml:space="preserve"> 2017</w:t>
            </w:r>
          </w:p>
        </w:tc>
        <w:tc>
          <w:tcPr>
            <w:tcW w:w="2258" w:type="dxa"/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>
              <w:t>Every 2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 w:rsidRPr="003E5BB9">
              <w:t>Winter</w:t>
            </w:r>
            <w:r>
              <w:t xml:space="preserve"> 2018</w:t>
            </w:r>
          </w:p>
        </w:tc>
      </w:tr>
      <w:tr w:rsidR="007D30E2" w:rsidRPr="003E5BB9" w:rsidTr="008E5BD9">
        <w:trPr>
          <w:trHeight w:val="300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</w:tcPr>
          <w:p w:rsidR="007D30E2" w:rsidRDefault="007D30E2" w:rsidP="00781D92">
            <w:r w:rsidRPr="00C06F47">
              <w:t xml:space="preserve">Description:  </w:t>
            </w:r>
            <w:r w:rsidR="00F76411">
              <w:t xml:space="preserve">The Employee Community Engagement Survey </w:t>
            </w:r>
            <w:r w:rsidR="00781D92">
              <w:t>asks</w:t>
            </w:r>
            <w:r w:rsidR="00F76411">
              <w:t xml:space="preserve"> RTC faculty, staff, and administrators about their volunteer history. This survey will help identify community partners for outreach initiatives and individuals who will receive the Community Engagement Survey. </w:t>
            </w:r>
          </w:p>
        </w:tc>
      </w:tr>
      <w:tr w:rsidR="00E4464B" w:rsidRPr="003E5BB9" w:rsidTr="00E30C3D">
        <w:trPr>
          <w:trHeight w:val="377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4464B" w:rsidRPr="00E30C3D" w:rsidRDefault="00E4464B" w:rsidP="00E470A6">
            <w:pPr>
              <w:rPr>
                <w:b/>
              </w:rPr>
            </w:pPr>
            <w:r w:rsidRPr="00E30C3D">
              <w:rPr>
                <w:b/>
              </w:rPr>
              <w:lastRenderedPageBreak/>
              <w:t>Cultural Competency Survey</w:t>
            </w:r>
          </w:p>
        </w:tc>
        <w:tc>
          <w:tcPr>
            <w:tcW w:w="1620" w:type="dxa"/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 w:rsidRPr="003E5BB9">
              <w:t>TBD</w:t>
            </w:r>
          </w:p>
        </w:tc>
        <w:tc>
          <w:tcPr>
            <w:tcW w:w="2258" w:type="dxa"/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>
              <w:t>TBD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E4464B" w:rsidRPr="003E5BB9" w:rsidRDefault="00E4464B" w:rsidP="00E470A6">
            <w:pPr>
              <w:jc w:val="center"/>
            </w:pPr>
            <w:r>
              <w:t>TBD</w:t>
            </w:r>
          </w:p>
        </w:tc>
      </w:tr>
      <w:tr w:rsidR="007D30E2" w:rsidRPr="003E5BB9" w:rsidTr="00D57CC4">
        <w:trPr>
          <w:trHeight w:val="377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E30C3D">
            <w:r w:rsidRPr="00C06F47">
              <w:t xml:space="preserve">Description:  </w:t>
            </w:r>
            <w:r w:rsidR="00526CB2">
              <w:t>TBD</w:t>
            </w:r>
            <w:r w:rsidR="00BA0703">
              <w:t xml:space="preserve">. </w:t>
            </w:r>
            <w:r w:rsidR="00E30C3D">
              <w:t>More information coming soon.</w:t>
            </w:r>
            <w:r w:rsidR="00BA0703">
              <w:t xml:space="preserve"> </w:t>
            </w:r>
          </w:p>
        </w:tc>
      </w:tr>
      <w:tr w:rsidR="00E4464B" w:rsidRPr="003E5BB9" w:rsidTr="00E30C3D">
        <w:trPr>
          <w:trHeight w:val="377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4464B" w:rsidRPr="00E30C3D" w:rsidRDefault="00E4464B" w:rsidP="00E4464B">
            <w:pPr>
              <w:rPr>
                <w:b/>
              </w:rPr>
            </w:pPr>
            <w:r w:rsidRPr="00E30C3D">
              <w:rPr>
                <w:b/>
              </w:rPr>
              <w:t>Employee Satisfaction Survey</w:t>
            </w:r>
          </w:p>
        </w:tc>
        <w:tc>
          <w:tcPr>
            <w:tcW w:w="1620" w:type="dxa"/>
            <w:noWrap/>
            <w:vAlign w:val="center"/>
          </w:tcPr>
          <w:p w:rsidR="00E4464B" w:rsidRDefault="0017255A" w:rsidP="00E470A6">
            <w:pPr>
              <w:jc w:val="center"/>
            </w:pPr>
            <w:r>
              <w:t>Spring</w:t>
            </w:r>
            <w:r w:rsidR="00E4464B">
              <w:t xml:space="preserve"> 2018</w:t>
            </w:r>
          </w:p>
        </w:tc>
        <w:tc>
          <w:tcPr>
            <w:tcW w:w="2258" w:type="dxa"/>
            <w:noWrap/>
            <w:vAlign w:val="center"/>
          </w:tcPr>
          <w:p w:rsidR="00E4464B" w:rsidRDefault="00E4464B" w:rsidP="00E470A6">
            <w:pPr>
              <w:jc w:val="center"/>
            </w:pPr>
            <w:r>
              <w:t>Every 2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</w:tcPr>
          <w:p w:rsidR="00E4464B" w:rsidRDefault="0017255A" w:rsidP="00E470A6">
            <w:pPr>
              <w:jc w:val="center"/>
            </w:pPr>
            <w:r>
              <w:t xml:space="preserve">Summer/Fall </w:t>
            </w:r>
            <w:r w:rsidR="00E4464B">
              <w:t>2018</w:t>
            </w:r>
          </w:p>
        </w:tc>
      </w:tr>
      <w:tr w:rsidR="007D30E2" w:rsidRPr="003E5BB9" w:rsidTr="0052081B">
        <w:trPr>
          <w:trHeight w:val="377"/>
        </w:trPr>
        <w:tc>
          <w:tcPr>
            <w:tcW w:w="9330" w:type="dxa"/>
            <w:gridSpan w:val="4"/>
            <w:tcBorders>
              <w:left w:val="double" w:sz="4" w:space="0" w:color="auto"/>
            </w:tcBorders>
            <w:noWrap/>
            <w:vAlign w:val="center"/>
          </w:tcPr>
          <w:p w:rsidR="007D30E2" w:rsidRDefault="007D30E2" w:rsidP="00781D92">
            <w:r w:rsidRPr="00C06F47">
              <w:t xml:space="preserve">Description:  </w:t>
            </w:r>
            <w:r w:rsidR="00781D92">
              <w:t>The Employee Satisfaction Survey assesses overall employee satisfaction, and invites employees to evaluate the College’s capacities to improve student success</w:t>
            </w:r>
            <w:r w:rsidR="00E30C3D">
              <w:t>.</w:t>
            </w:r>
          </w:p>
        </w:tc>
      </w:tr>
      <w:tr w:rsidR="00DD746F" w:rsidRPr="003E5BB9" w:rsidTr="00E30C3D">
        <w:trPr>
          <w:trHeight w:val="377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DD746F" w:rsidRPr="00E30C3D" w:rsidRDefault="00DD746F" w:rsidP="00DD746F">
            <w:pPr>
              <w:rPr>
                <w:b/>
              </w:rPr>
            </w:pPr>
            <w:r w:rsidRPr="00E30C3D">
              <w:rPr>
                <w:b/>
              </w:rPr>
              <w:t>Employee Satisfaction Survey – Tenure/Onboarding</w:t>
            </w:r>
          </w:p>
        </w:tc>
        <w:tc>
          <w:tcPr>
            <w:tcW w:w="1620" w:type="dxa"/>
            <w:noWrap/>
            <w:vAlign w:val="center"/>
          </w:tcPr>
          <w:p w:rsidR="00DD746F" w:rsidRDefault="00DD746F" w:rsidP="00DD746F">
            <w:pPr>
              <w:jc w:val="center"/>
            </w:pPr>
            <w:r>
              <w:t>Spring 2018</w:t>
            </w:r>
          </w:p>
        </w:tc>
        <w:tc>
          <w:tcPr>
            <w:tcW w:w="2258" w:type="dxa"/>
            <w:noWrap/>
            <w:vAlign w:val="center"/>
          </w:tcPr>
          <w:p w:rsidR="00DD746F" w:rsidRDefault="00DD746F" w:rsidP="00DD746F">
            <w:pPr>
              <w:jc w:val="center"/>
            </w:pPr>
            <w:r>
              <w:t>Every 2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</w:tcPr>
          <w:p w:rsidR="00DD746F" w:rsidRDefault="00DD746F" w:rsidP="00DD746F">
            <w:pPr>
              <w:jc w:val="center"/>
            </w:pPr>
            <w:r>
              <w:t>Summer 2018</w:t>
            </w:r>
          </w:p>
        </w:tc>
      </w:tr>
      <w:tr w:rsidR="007D30E2" w:rsidRPr="003E5BB9" w:rsidTr="005373F3">
        <w:trPr>
          <w:trHeight w:val="377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781D92">
            <w:r w:rsidRPr="00C06F47">
              <w:t xml:space="preserve">Description:  </w:t>
            </w:r>
            <w:r w:rsidR="00903141">
              <w:t xml:space="preserve">The </w:t>
            </w:r>
            <w:r w:rsidR="00E30C3D">
              <w:t>Tenure/Onboarding Satisfaction S</w:t>
            </w:r>
            <w:r w:rsidR="00903141">
              <w:t>urvey ask</w:t>
            </w:r>
            <w:r w:rsidR="00781D92">
              <w:t>s</w:t>
            </w:r>
            <w:r w:rsidR="00903141">
              <w:t xml:space="preserve"> employees to evaluate their experience with onboarding, and the tenure process. </w:t>
            </w:r>
          </w:p>
        </w:tc>
      </w:tr>
      <w:tr w:rsidR="003E5BB9" w:rsidRPr="003E5BB9" w:rsidTr="00E30C3D">
        <w:trPr>
          <w:trHeight w:val="300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E5BB9" w:rsidRPr="00E30C3D" w:rsidRDefault="00DD746F" w:rsidP="00DD746F">
            <w:pPr>
              <w:rPr>
                <w:b/>
              </w:rPr>
            </w:pPr>
            <w:r w:rsidRPr="00E30C3D">
              <w:rPr>
                <w:b/>
              </w:rPr>
              <w:t>Student Engagement Survey</w:t>
            </w:r>
          </w:p>
        </w:tc>
        <w:tc>
          <w:tcPr>
            <w:tcW w:w="1620" w:type="dxa"/>
            <w:noWrap/>
            <w:vAlign w:val="center"/>
            <w:hideMark/>
          </w:tcPr>
          <w:p w:rsidR="003E5BB9" w:rsidRPr="003E5BB9" w:rsidRDefault="003E5BB9" w:rsidP="00DD746F">
            <w:pPr>
              <w:jc w:val="center"/>
            </w:pPr>
            <w:r w:rsidRPr="003E5BB9">
              <w:t>Fall 2018</w:t>
            </w:r>
          </w:p>
        </w:tc>
        <w:tc>
          <w:tcPr>
            <w:tcW w:w="2258" w:type="dxa"/>
            <w:noWrap/>
            <w:vAlign w:val="center"/>
            <w:hideMark/>
          </w:tcPr>
          <w:p w:rsidR="003E5BB9" w:rsidRPr="003E5BB9" w:rsidRDefault="00150216" w:rsidP="00DD746F">
            <w:pPr>
              <w:jc w:val="center"/>
            </w:pPr>
            <w:r>
              <w:t>Every 3</w:t>
            </w:r>
            <w:r w:rsidR="00DD746F">
              <w:t xml:space="preserve"> years</w:t>
            </w:r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3E5BB9" w:rsidRPr="003E5BB9" w:rsidRDefault="00DD746F" w:rsidP="00DD746F">
            <w:pPr>
              <w:jc w:val="center"/>
            </w:pPr>
            <w:r>
              <w:t>Winter 2019</w:t>
            </w:r>
          </w:p>
        </w:tc>
      </w:tr>
      <w:tr w:rsidR="007D30E2" w:rsidRPr="003E5BB9" w:rsidTr="008C0933">
        <w:trPr>
          <w:trHeight w:val="300"/>
        </w:trPr>
        <w:tc>
          <w:tcPr>
            <w:tcW w:w="9330" w:type="dxa"/>
            <w:gridSpan w:val="4"/>
            <w:tcBorders>
              <w:left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E30C3D">
            <w:r w:rsidRPr="00C06F47">
              <w:t xml:space="preserve">Description:  </w:t>
            </w:r>
            <w:r w:rsidR="00781D92">
              <w:t>The Student Engagement Survey explores the student experi</w:t>
            </w:r>
            <w:r w:rsidR="00E30C3D">
              <w:t>ence at RTC in greater depth tha</w:t>
            </w:r>
            <w:r w:rsidR="00781D92">
              <w:t>n the Annual Student Survey. To control survey fatigue</w:t>
            </w:r>
            <w:r w:rsidR="00E30C3D">
              <w:t>, this survey</w:t>
            </w:r>
            <w:r w:rsidR="00781D92">
              <w:t xml:space="preserve"> will only be administered </w:t>
            </w:r>
            <w:r w:rsidR="00953497">
              <w:t xml:space="preserve">once </w:t>
            </w:r>
            <w:r w:rsidR="00781D92">
              <w:t xml:space="preserve">every three years. </w:t>
            </w:r>
          </w:p>
        </w:tc>
      </w:tr>
      <w:tr w:rsidR="003E5BB9" w:rsidRPr="003E5BB9" w:rsidTr="00E30C3D">
        <w:trPr>
          <w:trHeight w:val="300"/>
        </w:trPr>
        <w:tc>
          <w:tcPr>
            <w:tcW w:w="3675" w:type="dxa"/>
            <w:tcBorders>
              <w:left w:val="doub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E5BB9" w:rsidRPr="00E30C3D" w:rsidRDefault="003E5BB9" w:rsidP="00DD746F">
            <w:pPr>
              <w:rPr>
                <w:b/>
              </w:rPr>
            </w:pPr>
            <w:r w:rsidRPr="00E30C3D">
              <w:rPr>
                <w:b/>
              </w:rPr>
              <w:t>Technology Usage Survey</w:t>
            </w:r>
          </w:p>
        </w:tc>
        <w:tc>
          <w:tcPr>
            <w:tcW w:w="1620" w:type="dxa"/>
            <w:noWrap/>
            <w:vAlign w:val="center"/>
            <w:hideMark/>
          </w:tcPr>
          <w:p w:rsidR="003E5BB9" w:rsidRPr="003E5BB9" w:rsidRDefault="0017255A" w:rsidP="00DD746F">
            <w:pPr>
              <w:jc w:val="center"/>
            </w:pPr>
            <w:r>
              <w:t xml:space="preserve">Spring </w:t>
            </w:r>
            <w:r w:rsidR="00E4464B">
              <w:t>2018</w:t>
            </w:r>
          </w:p>
        </w:tc>
        <w:tc>
          <w:tcPr>
            <w:tcW w:w="2258" w:type="dxa"/>
            <w:noWrap/>
            <w:vAlign w:val="center"/>
            <w:hideMark/>
          </w:tcPr>
          <w:p w:rsidR="003E5BB9" w:rsidRPr="003E5BB9" w:rsidRDefault="003E5BB9" w:rsidP="00DD746F">
            <w:pPr>
              <w:jc w:val="center"/>
            </w:pPr>
            <w:r w:rsidRPr="003E5BB9">
              <w:t>Annually</w:t>
            </w:r>
            <w:bookmarkStart w:id="0" w:name="_GoBack"/>
            <w:bookmarkEnd w:id="0"/>
          </w:p>
        </w:tc>
        <w:tc>
          <w:tcPr>
            <w:tcW w:w="1777" w:type="dxa"/>
            <w:tcBorders>
              <w:right w:val="double" w:sz="4" w:space="0" w:color="auto"/>
            </w:tcBorders>
            <w:noWrap/>
            <w:vAlign w:val="center"/>
            <w:hideMark/>
          </w:tcPr>
          <w:p w:rsidR="003E5BB9" w:rsidRPr="003E5BB9" w:rsidRDefault="0017255A" w:rsidP="00DD746F">
            <w:pPr>
              <w:jc w:val="center"/>
            </w:pPr>
            <w:r>
              <w:t>Summer/Fall</w:t>
            </w:r>
            <w:r w:rsidR="00E4464B">
              <w:t xml:space="preserve"> 2018</w:t>
            </w:r>
          </w:p>
        </w:tc>
      </w:tr>
      <w:tr w:rsidR="007D30E2" w:rsidRPr="003E5BB9" w:rsidTr="00FC082E">
        <w:trPr>
          <w:trHeight w:val="300"/>
        </w:trPr>
        <w:tc>
          <w:tcPr>
            <w:tcW w:w="933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30E2" w:rsidRDefault="007D30E2" w:rsidP="00BA0703">
            <w:r w:rsidRPr="00C06F47">
              <w:t xml:space="preserve">Description:  </w:t>
            </w:r>
            <w:r w:rsidR="00BA0703">
              <w:t>The Technology Usage Survey asks employees how they use technology on campus</w:t>
            </w:r>
            <w:r w:rsidR="00903141">
              <w:t>,</w:t>
            </w:r>
            <w:r w:rsidR="00BA0703">
              <w:t xml:space="preserve"> and to identify their technology needs. This survey helps College Technology Services with capacity planning, and is an indicator for the College Strategic Plan. </w:t>
            </w:r>
          </w:p>
        </w:tc>
      </w:tr>
    </w:tbl>
    <w:p w:rsidR="003E5BB9" w:rsidRDefault="003E5BB9" w:rsidP="003E5BB9"/>
    <w:p w:rsidR="003E5BB9" w:rsidRDefault="003E5BB9" w:rsidP="003E5BB9"/>
    <w:sectPr w:rsidR="003E5BB9" w:rsidSect="00DD746F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46F" w:rsidRDefault="00DD746F" w:rsidP="00DD746F">
      <w:pPr>
        <w:spacing w:after="0" w:line="240" w:lineRule="auto"/>
      </w:pPr>
      <w:r>
        <w:separator/>
      </w:r>
    </w:p>
  </w:endnote>
  <w:endnote w:type="continuationSeparator" w:id="0">
    <w:p w:rsidR="00DD746F" w:rsidRDefault="00DD746F" w:rsidP="00DD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3549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C3D" w:rsidRDefault="00E30C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5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0C3D" w:rsidRDefault="00E30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46F" w:rsidRDefault="00DD746F" w:rsidP="00DD746F">
      <w:pPr>
        <w:spacing w:after="0" w:line="240" w:lineRule="auto"/>
      </w:pPr>
      <w:r>
        <w:separator/>
      </w:r>
    </w:p>
  </w:footnote>
  <w:footnote w:type="continuationSeparator" w:id="0">
    <w:p w:rsidR="00DD746F" w:rsidRDefault="00DD746F" w:rsidP="00DD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46F" w:rsidRPr="00E30C3D" w:rsidRDefault="00DD746F" w:rsidP="00DD746F">
    <w:pPr>
      <w:pStyle w:val="Header"/>
      <w:jc w:val="center"/>
      <w:rPr>
        <w:b/>
        <w:sz w:val="28"/>
        <w:szCs w:val="28"/>
      </w:rPr>
    </w:pPr>
    <w:r w:rsidRPr="00DD746F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1638300" cy="47569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0726-RTC-logo-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475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64B">
      <w:rPr>
        <w:b/>
      </w:rPr>
      <w:t xml:space="preserve">           </w:t>
    </w:r>
    <w:r w:rsidRPr="00E30C3D">
      <w:rPr>
        <w:b/>
        <w:sz w:val="28"/>
        <w:szCs w:val="28"/>
      </w:rPr>
      <w:t>Strategic Indicators Timeline</w:t>
    </w:r>
  </w:p>
  <w:p w:rsidR="000A4A25" w:rsidRPr="00DD746F" w:rsidRDefault="000A4A25" w:rsidP="00DD746F">
    <w:pPr>
      <w:pStyle w:val="Header"/>
      <w:jc w:val="center"/>
      <w:rPr>
        <w:b/>
      </w:rPr>
    </w:pPr>
  </w:p>
  <w:p w:rsidR="00DD746F" w:rsidRDefault="00DD746F" w:rsidP="00DD746F">
    <w:pPr>
      <w:pStyle w:val="Header"/>
      <w:jc w:val="center"/>
    </w:pPr>
    <w:r>
      <w:t>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61"/>
    <w:rsid w:val="000A4A25"/>
    <w:rsid w:val="00150216"/>
    <w:rsid w:val="00166364"/>
    <w:rsid w:val="0017255A"/>
    <w:rsid w:val="0019175D"/>
    <w:rsid w:val="00240AF3"/>
    <w:rsid w:val="003E5BB9"/>
    <w:rsid w:val="00467095"/>
    <w:rsid w:val="00526CB2"/>
    <w:rsid w:val="00781D92"/>
    <w:rsid w:val="007B7E08"/>
    <w:rsid w:val="007D30E2"/>
    <w:rsid w:val="00903141"/>
    <w:rsid w:val="009257FC"/>
    <w:rsid w:val="00953497"/>
    <w:rsid w:val="009E0861"/>
    <w:rsid w:val="00A70A93"/>
    <w:rsid w:val="00AF5FDF"/>
    <w:rsid w:val="00BA0703"/>
    <w:rsid w:val="00DD746F"/>
    <w:rsid w:val="00E30C3D"/>
    <w:rsid w:val="00E4464B"/>
    <w:rsid w:val="00F548AA"/>
    <w:rsid w:val="00F76411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2C511B8-38B0-49EC-8540-EB5F23C1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6F"/>
  </w:style>
  <w:style w:type="paragraph" w:styleId="Footer">
    <w:name w:val="footer"/>
    <w:basedOn w:val="Normal"/>
    <w:link w:val="FooterChar"/>
    <w:uiPriority w:val="99"/>
    <w:unhideWhenUsed/>
    <w:rsid w:val="00DD7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6F"/>
  </w:style>
  <w:style w:type="paragraph" w:styleId="BalloonText">
    <w:name w:val="Balloon Text"/>
    <w:basedOn w:val="Normal"/>
    <w:link w:val="BalloonTextChar"/>
    <w:uiPriority w:val="99"/>
    <w:semiHidden/>
    <w:unhideWhenUsed/>
    <w:rsid w:val="00E3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0734C-189D-4AF5-BC97-5A63B665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Technical College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Neal</dc:creator>
  <cp:keywords/>
  <dc:description/>
  <cp:lastModifiedBy>Campbell, Michelle</cp:lastModifiedBy>
  <cp:revision>3</cp:revision>
  <cp:lastPrinted>2017-12-11T20:57:00Z</cp:lastPrinted>
  <dcterms:created xsi:type="dcterms:W3CDTF">2017-12-11T20:57:00Z</dcterms:created>
  <dcterms:modified xsi:type="dcterms:W3CDTF">2018-02-15T18:59:00Z</dcterms:modified>
</cp:coreProperties>
</file>